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58" w:rsidRDefault="009A7990" w:rsidP="009A799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</w:t>
      </w:r>
      <w:r w:rsidR="00CD3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ция о мерах поддержки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субъектов малого и среднего предпринимательства</w:t>
      </w:r>
    </w:p>
    <w:p w:rsidR="009A7990" w:rsidRPr="00D91458" w:rsidRDefault="009A7990" w:rsidP="009A799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15825" w:rsidRPr="00062665" w:rsidRDefault="00E15825" w:rsidP="00E15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665">
        <w:rPr>
          <w:rFonts w:ascii="Times New Roman" w:hAnsi="Times New Roman" w:cs="Times New Roman"/>
          <w:sz w:val="28"/>
          <w:szCs w:val="28"/>
        </w:rPr>
        <w:t>В  секторе малого бизнеса обеспечена занятость более 1,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2665">
        <w:rPr>
          <w:rFonts w:ascii="Times New Roman" w:hAnsi="Times New Roman" w:cs="Times New Roman"/>
          <w:sz w:val="28"/>
          <w:szCs w:val="28"/>
        </w:rPr>
        <w:t xml:space="preserve"> тыс. человек или </w:t>
      </w:r>
      <w:r w:rsidRPr="00006DAE">
        <w:rPr>
          <w:rFonts w:ascii="Times New Roman" w:hAnsi="Times New Roman" w:cs="Times New Roman"/>
          <w:sz w:val="28"/>
          <w:szCs w:val="28"/>
        </w:rPr>
        <w:t>8,0 %</w:t>
      </w:r>
      <w:r w:rsidRPr="00006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33D">
        <w:rPr>
          <w:rFonts w:ascii="Times New Roman" w:hAnsi="Times New Roman" w:cs="Times New Roman"/>
          <w:sz w:val="28"/>
          <w:szCs w:val="28"/>
        </w:rPr>
        <w:t>от общего количества работающих в экономике района.</w:t>
      </w:r>
      <w:r w:rsidRPr="000626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F65F8">
        <w:rPr>
          <w:rFonts w:ascii="Times New Roman" w:eastAsia="Times New Roman" w:hAnsi="Times New Roman" w:cs="Times New Roman"/>
          <w:sz w:val="28"/>
          <w:szCs w:val="28"/>
        </w:rPr>
        <w:t xml:space="preserve"> районе осуществляют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538 с</w:t>
      </w:r>
      <w:r w:rsidRPr="007F65F8">
        <w:rPr>
          <w:rFonts w:ascii="Times New Roman" w:eastAsia="Times New Roman" w:hAnsi="Times New Roman" w:cs="Times New Roman"/>
          <w:sz w:val="28"/>
          <w:szCs w:val="28"/>
        </w:rPr>
        <w:t xml:space="preserve">убъектов малого предпринимательства,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5F8">
        <w:rPr>
          <w:rFonts w:ascii="Times New Roman" w:eastAsia="Times New Roman" w:hAnsi="Times New Roman" w:cs="Times New Roman"/>
          <w:sz w:val="28"/>
          <w:szCs w:val="28"/>
        </w:rPr>
        <w:t xml:space="preserve">в том числе 133 юридических лица,  </w:t>
      </w:r>
      <w:r>
        <w:rPr>
          <w:rFonts w:ascii="Times New Roman" w:eastAsia="Times New Roman" w:hAnsi="Times New Roman" w:cs="Times New Roman"/>
          <w:sz w:val="28"/>
          <w:szCs w:val="28"/>
        </w:rPr>
        <w:t>405</w:t>
      </w:r>
      <w:r w:rsidRPr="007F65F8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предпринимателей.</w:t>
      </w:r>
    </w:p>
    <w:p w:rsidR="00E15825" w:rsidRPr="00F70E16" w:rsidRDefault="00E15825" w:rsidP="00E15825">
      <w:pPr>
        <w:spacing w:after="0" w:line="240" w:lineRule="auto"/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  <w:r w:rsidRPr="00612F00">
        <w:rPr>
          <w:rFonts w:ascii="Times New Roman" w:eastAsia="Times New Roman" w:hAnsi="Times New Roman" w:cs="Calibri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68813D21" wp14:editId="4113053D">
            <wp:simplePos x="0" y="0"/>
            <wp:positionH relativeFrom="column">
              <wp:posOffset>4445</wp:posOffset>
            </wp:positionH>
            <wp:positionV relativeFrom="paragraph">
              <wp:posOffset>1104900</wp:posOffset>
            </wp:positionV>
            <wp:extent cx="6238875" cy="2933700"/>
            <wp:effectExtent l="0" t="0" r="9525" b="19050"/>
            <wp:wrapTight wrapText="bothSides">
              <wp:wrapPolygon edited="0">
                <wp:start x="0" y="0"/>
                <wp:lineTo x="0" y="21600"/>
                <wp:lineTo x="21567" y="21600"/>
                <wp:lineTo x="21567" y="0"/>
                <wp:lineTo x="0" y="0"/>
              </wp:wrapPolygon>
            </wp:wrapTight>
            <wp:docPr id="1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отраслевая структура распределения малых предприятий сложилась следующим образом: в сфере </w:t>
      </w:r>
      <w:r w:rsidRPr="00F70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  - 44,28 %,  в строительстве – 6,33 %, транспорт и хранение – 13,38%,  сельское, лесное хозяйство, охота, рыболовство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рыбоводство – 4,14 %, операции с недвижимым имуществом – 2,68 %,  прочие  виды деятельности -  29,19%.</w:t>
      </w:r>
    </w:p>
    <w:p w:rsidR="00E15825" w:rsidRPr="00612F00" w:rsidRDefault="00E15825" w:rsidP="00E15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58" w:rsidRDefault="00D91458" w:rsidP="00082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создания условий для устойчивого</w:t>
      </w:r>
      <w:r w:rsidRPr="00D9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</w:t>
      </w:r>
      <w:r w:rsidRPr="00D914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малого и среднего предпринимательства</w:t>
      </w:r>
      <w:r w:rsidRPr="00D9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</w:t>
      </w:r>
      <w:r w:rsidR="00C4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уется </w:t>
      </w:r>
      <w:r w:rsidRPr="00D9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«Развитие малого и среднего предпринимательства» муниципальной программы Тазовского района «Экономическое развитие на 2015-2020 годы» </w:t>
      </w:r>
      <w:r w:rsidR="00C4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4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объемом финансирования</w:t>
      </w:r>
      <w:r w:rsidR="00C4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89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36,8  млн. руб.</w:t>
      </w:r>
      <w:r w:rsidR="00CD389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CD3890" w:rsidRPr="00CD3890">
        <w:rPr>
          <w:rFonts w:ascii="Times New Roman" w:eastAsia="Times New Roman" w:hAnsi="Times New Roman" w:cs="Times New Roman"/>
          <w:sz w:val="28"/>
          <w:szCs w:val="28"/>
        </w:rPr>
        <w:t>в том числе средства окружного бюджета 2 млн. 828 тыс. рублей)</w:t>
      </w:r>
      <w:r w:rsidR="00CD38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C45948" w:rsidRPr="00CD3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2017 году </w:t>
      </w:r>
      <w:r w:rsidR="00637D32" w:rsidRPr="00CD3890">
        <w:rPr>
          <w:rFonts w:ascii="Times New Roman" w:eastAsia="Times New Roman" w:hAnsi="Times New Roman" w:cs="Times New Roman"/>
          <w:i/>
          <w:sz w:val="28"/>
          <w:szCs w:val="28"/>
        </w:rPr>
        <w:t>27</w:t>
      </w:r>
      <w:r w:rsidR="00FB427E" w:rsidRPr="00CD389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45948" w:rsidRPr="00CD3890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Pr="00CD3890">
        <w:rPr>
          <w:rFonts w:ascii="Times New Roman" w:eastAsia="Times New Roman" w:hAnsi="Times New Roman" w:cs="Times New Roman"/>
          <w:i/>
          <w:sz w:val="28"/>
          <w:szCs w:val="28"/>
        </w:rPr>
        <w:t xml:space="preserve"> млн. </w:t>
      </w:r>
      <w:r w:rsidR="00FB427E" w:rsidRPr="00CD3890">
        <w:rPr>
          <w:rFonts w:ascii="Times New Roman" w:eastAsia="Times New Roman" w:hAnsi="Times New Roman" w:cs="Times New Roman"/>
          <w:i/>
          <w:sz w:val="28"/>
          <w:szCs w:val="28"/>
        </w:rPr>
        <w:t>рублей</w:t>
      </w:r>
      <w:r w:rsidRPr="00CD3890">
        <w:rPr>
          <w:rFonts w:ascii="Times New Roman" w:eastAsia="Times New Roman" w:hAnsi="Times New Roman" w:cs="Times New Roman"/>
          <w:i/>
          <w:sz w:val="28"/>
          <w:szCs w:val="28"/>
        </w:rPr>
        <w:t xml:space="preserve">, в том числе средства окружного бюджета </w:t>
      </w:r>
      <w:r w:rsidR="00637D32" w:rsidRPr="00CD3890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proofErr w:type="gramEnd"/>
      <w:r w:rsidRPr="00CD389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D3890">
        <w:rPr>
          <w:rFonts w:ascii="Times New Roman" w:eastAsia="Times New Roman" w:hAnsi="Times New Roman" w:cs="Times New Roman"/>
          <w:i/>
          <w:sz w:val="28"/>
          <w:szCs w:val="28"/>
        </w:rPr>
        <w:t xml:space="preserve">млн. </w:t>
      </w:r>
      <w:r w:rsidR="00637D32" w:rsidRPr="00CD3890">
        <w:rPr>
          <w:rFonts w:ascii="Times New Roman" w:eastAsia="Times New Roman" w:hAnsi="Times New Roman" w:cs="Times New Roman"/>
          <w:i/>
          <w:sz w:val="28"/>
          <w:szCs w:val="28"/>
        </w:rPr>
        <w:t>888</w:t>
      </w:r>
      <w:r w:rsidRPr="00CD3890">
        <w:rPr>
          <w:rFonts w:ascii="Times New Roman" w:eastAsia="Times New Roman" w:hAnsi="Times New Roman" w:cs="Times New Roman"/>
          <w:i/>
          <w:sz w:val="28"/>
          <w:szCs w:val="28"/>
        </w:rPr>
        <w:t xml:space="preserve"> тыс. рублей</w:t>
      </w:r>
      <w:r w:rsidR="00CD389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914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4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D3890" w:rsidRPr="000448BB" w:rsidRDefault="00CD3890" w:rsidP="00CD38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по следующим направлениям</w:t>
      </w: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3890" w:rsidRDefault="00CD3890" w:rsidP="00CD389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грантов начинающим малым предприятиям на  создание собственного дела</w:t>
      </w: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предусмотрено 5</w:t>
      </w:r>
      <w:r w:rsidRPr="000448BB">
        <w:rPr>
          <w:rFonts w:ascii="Times New Roman" w:eastAsia="Calibri" w:hAnsi="Times New Roman" w:cs="Times New Roman"/>
          <w:sz w:val="28"/>
          <w:szCs w:val="28"/>
        </w:rPr>
        <w:t xml:space="preserve"> млн. 628 тыс. руб., в том числе 2 млн.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448BB">
        <w:rPr>
          <w:rFonts w:ascii="Times New Roman" w:eastAsia="Calibri" w:hAnsi="Times New Roman" w:cs="Times New Roman"/>
          <w:sz w:val="28"/>
          <w:szCs w:val="28"/>
        </w:rPr>
        <w:t xml:space="preserve">28 тыс. руб. средства окружного бюджета, привлеченные в бюджет муниципального образования  </w:t>
      </w: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участия в конкурсе на </w:t>
      </w:r>
      <w:proofErr w:type="spellStart"/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программ.  </w:t>
      </w:r>
    </w:p>
    <w:p w:rsidR="00CD3890" w:rsidRPr="000448BB" w:rsidRDefault="00CD3890" w:rsidP="00CD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гранта составляет 500 тысяч рублей.</w:t>
      </w:r>
    </w:p>
    <w:p w:rsidR="00CD3890" w:rsidRPr="000448BB" w:rsidRDefault="00CD3890" w:rsidP="00CD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4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Основными условиями предоставления грантов являются:</w:t>
      </w:r>
    </w:p>
    <w:p w:rsidR="00CD3890" w:rsidRPr="000448BB" w:rsidRDefault="00CD3890" w:rsidP="00CD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4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регистрация и осуществление (или планирование осуществления) хозяйственной деятельности на территории Тазовского района по одному из </w:t>
      </w:r>
      <w:r w:rsidRPr="00044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приоритетных направлений развития субъектов малого бизнеса в соответствии с перечнем Общероссийского классификатора видов экономической деятельности;</w:t>
      </w:r>
    </w:p>
    <w:p w:rsidR="00CD3890" w:rsidRPr="000448BB" w:rsidRDefault="00CD3890" w:rsidP="00CD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4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proofErr w:type="spellStart"/>
      <w:r w:rsidRPr="00044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софинансирование</w:t>
      </w:r>
      <w:proofErr w:type="spellEnd"/>
      <w:r w:rsidRPr="00044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начинающим малым предприятием расходов </w:t>
      </w:r>
      <w:proofErr w:type="gramStart"/>
      <w:r w:rsidRPr="00044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044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реализацию </w:t>
      </w:r>
      <w:proofErr w:type="gramStart"/>
      <w:r w:rsidRPr="00044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бизнес-проекта</w:t>
      </w:r>
      <w:proofErr w:type="gramEnd"/>
      <w:r w:rsidRPr="00044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счет собственных средств в размере не менее 15 % от запрашиваемой суммы гранта;</w:t>
      </w:r>
    </w:p>
    <w:p w:rsidR="00CD3890" w:rsidRDefault="00CD3890" w:rsidP="00CD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4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отсутствие неисполненной обязанности по уплате налогов, сборов, страховых взносов, пеней, штрафов, процентов  подлежащих уплате в соответствии с законодательством Российской Федерации </w:t>
      </w:r>
      <w:r w:rsidRPr="00491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налогах и сборах</w:t>
      </w:r>
      <w:r w:rsidRPr="00044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CD3890" w:rsidRPr="000448BB" w:rsidRDefault="00CD3890" w:rsidP="00CD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4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соблюдение уровня заработной платы существующих и вновь нанимаемых работников не ниже уровня минимальной заработной платы  в Ямало-Ненецком автономном округе, установленной в рамках регионального трехстороннего соглашения «О минимальной заработной плате в Ямало-Ненецком автономном округе»;</w:t>
      </w:r>
    </w:p>
    <w:p w:rsidR="00CD3890" w:rsidRPr="000448BB" w:rsidRDefault="00CD3890" w:rsidP="00CD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4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отсутствие задолженности по оплате труда перед работниками предприятия;</w:t>
      </w:r>
    </w:p>
    <w:p w:rsidR="00CD3890" w:rsidRPr="000448BB" w:rsidRDefault="00CD3890" w:rsidP="00CD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4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начинающие малые предприятия не должны находиться в процессе реорганизации, ликвидации, банкротства.</w:t>
      </w:r>
    </w:p>
    <w:p w:rsidR="00CD3890" w:rsidRPr="000448BB" w:rsidRDefault="00CD3890" w:rsidP="00CD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июля по 31 августа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прием заявок на конкурс</w:t>
      </w: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890" w:rsidRPr="000448BB" w:rsidRDefault="00CD3890" w:rsidP="00CD389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организациях, на строительство для собственных нужд производственных зданий, строений, сооружений и (или) приобретение оборудования в целях создания и (или) развития и (или) модернизации производства товаров (работ, услуг)</w:t>
      </w: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>500 тыс. руб.;</w:t>
      </w:r>
    </w:p>
    <w:p w:rsidR="00CD3890" w:rsidRPr="000448BB" w:rsidRDefault="00CD3890" w:rsidP="00CD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субсидии не может превышать 1 млн. руб</w:t>
      </w:r>
      <w:proofErr w:type="gramStart"/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CD3890" w:rsidRPr="000448BB" w:rsidRDefault="00CD3890" w:rsidP="00CD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июля по 17 сентября 2018 года</w:t>
      </w:r>
      <w:r w:rsidRPr="000D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прием заявок на конкурс</w:t>
      </w: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890" w:rsidRPr="000448BB" w:rsidRDefault="00CD3890" w:rsidP="00CD389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44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субсидирование уплаты субъектам малого и среднего предпринимательства первого взноса при заключении договора лизинга оборудования</w:t>
      </w: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</w:t>
      </w: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млн. руб.; </w:t>
      </w:r>
      <w:r w:rsidRPr="000448B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CD3890" w:rsidRPr="000448BB" w:rsidRDefault="00CD3890" w:rsidP="00CD3890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субсидии составляет 3 млн. руб. на одного получателя поддержки - юридического лица или индивидуального предпринимателя.</w:t>
      </w:r>
    </w:p>
    <w:p w:rsidR="00CD3890" w:rsidRPr="000448BB" w:rsidRDefault="00CD3890" w:rsidP="00CD3890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448BB">
        <w:rPr>
          <w:rFonts w:ascii="Times New Roman" w:eastAsia="Times New Roman" w:hAnsi="Times New Roman" w:cs="Calibri"/>
          <w:sz w:val="28"/>
          <w:szCs w:val="28"/>
          <w:lang w:eastAsia="ru-RU"/>
        </w:rPr>
        <w:t>Основные условия предоставления субсидии:</w:t>
      </w:r>
    </w:p>
    <w:p w:rsidR="00CD3890" w:rsidRPr="000448BB" w:rsidRDefault="00CD3890" w:rsidP="00CD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регистрация</w:t>
      </w: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осуществление деятельности СМП на территории Тазовского района в сфере производства товаров (работ, услуг);</w:t>
      </w:r>
    </w:p>
    <w:p w:rsidR="00CD3890" w:rsidRPr="000448BB" w:rsidRDefault="00CD3890" w:rsidP="00CD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неисполненной обязанности по уплате налогов, сборов, страховых взносов, пеней, штрафов, процентов  подлежащих уплате                           в соответствии с законодательством Российской Федерации о налогах и сборах;</w:t>
      </w:r>
    </w:p>
    <w:p w:rsidR="00CD3890" w:rsidRPr="000448BB" w:rsidRDefault="00CD3890" w:rsidP="00CD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задолженности по оплате труда перед работниками предприятия;</w:t>
      </w:r>
    </w:p>
    <w:p w:rsidR="00CD3890" w:rsidRPr="000448BB" w:rsidRDefault="00CD3890" w:rsidP="00CD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уровня заработной платы существующих и вновь нанимаемых работников не ниже уровня минимальной заработной платы в Ямало-Ненецком </w:t>
      </w: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автономном округе, установленной в рамках регионального соглашения   «О минимальной заработной плате в Ямало-Ненецком автономном округе»;</w:t>
      </w:r>
    </w:p>
    <w:p w:rsidR="00CD3890" w:rsidRPr="000448BB" w:rsidRDefault="00CD3890" w:rsidP="00CD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договора лизинга не превышает средней рыночной стоимости предмета договора лизинга, приобретаемого СМП;</w:t>
      </w:r>
    </w:p>
    <w:p w:rsidR="00CD3890" w:rsidRPr="000448BB" w:rsidRDefault="00CD3890" w:rsidP="00CD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 не должны находиться в процессе реорганизации, ликвидации, банкротства, а СМП - индивидуальные предприниматели не должны прекратить деятельность в качестве индивидуального предпринимателя;</w:t>
      </w:r>
    </w:p>
    <w:p w:rsidR="00CD3890" w:rsidRPr="000448BB" w:rsidRDefault="00CD3890" w:rsidP="00CD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подтверждение фактических затрат (часть затрат) на уплату первого взноса при заключении договора лизинга оборудования;</w:t>
      </w:r>
    </w:p>
    <w:p w:rsidR="00CD3890" w:rsidRPr="000448BB" w:rsidRDefault="00CD3890" w:rsidP="00CD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июля по 17 сентября 2018 года</w:t>
      </w:r>
      <w:r w:rsidRPr="000D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прием заявок на конкурс</w:t>
      </w: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890" w:rsidRPr="000448BB" w:rsidRDefault="00CD3890" w:rsidP="00CD389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субсидирование части затрат, связанных с уплатой процентов по кредитам, привлеченным в российских кредитных организациях субъектами малого и среднего предпринимательства, осуществляющим производственную деятельность в сфере агропромышленного комплекса, на возмещение затрат, связанных с закупом мяса оленины</w:t>
      </w: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>500 тыс. руб.;</w:t>
      </w:r>
    </w:p>
    <w:p w:rsidR="00CD3890" w:rsidRPr="000448BB" w:rsidRDefault="00CD3890" w:rsidP="00CD3890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448BB">
        <w:rPr>
          <w:rFonts w:ascii="Times New Roman" w:eastAsia="Times New Roman" w:hAnsi="Times New Roman" w:cs="Calibri"/>
          <w:sz w:val="28"/>
          <w:szCs w:val="28"/>
          <w:lang w:eastAsia="ru-RU"/>
        </w:rPr>
        <w:t>Субсидии предоставляются в виде разового платежа на компенсацию фактически произведенных затрат СМП в АПК на уплату процентов                                за пользование кредитом, в соответствии с графиком платежей, в размере ключевой ставки Банка России, действовавшей на момент упла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ты процентов.              </w:t>
      </w:r>
    </w:p>
    <w:p w:rsidR="00CD3890" w:rsidRPr="000D4064" w:rsidRDefault="00CD3890" w:rsidP="00CD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 04 июля по 17 сентября 2018 года осуществляется прием заявок на конкурс.</w:t>
      </w:r>
    </w:p>
    <w:p w:rsidR="00CD3890" w:rsidRPr="000448BB" w:rsidRDefault="00CD3890" w:rsidP="00CD389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субсидирование части затрат субъектов малого и среднего предпринимательства Тазовского района на оплату энергетических ресурсов</w:t>
      </w:r>
      <w:proofErr w:type="gramStart"/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овый вид финансовой поддержки, - с 2018 года). </w:t>
      </w: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 тыс. рублей. </w:t>
      </w:r>
    </w:p>
    <w:p w:rsidR="00CD3890" w:rsidRPr="000D4064" w:rsidRDefault="00CD3890" w:rsidP="00CD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04 июля по </w:t>
      </w:r>
      <w:r w:rsidRPr="000448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03 августа 2018 года</w:t>
      </w:r>
      <w:r w:rsidRPr="000D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прием заявок на конкурс.</w:t>
      </w:r>
    </w:p>
    <w:p w:rsidR="00CD3890" w:rsidRPr="000448BB" w:rsidRDefault="00CD3890" w:rsidP="00CD389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4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Микрокредитной</w:t>
      </w:r>
      <w:proofErr w:type="spellEnd"/>
      <w:r w:rsidRPr="00044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компании Фонд развития Тазовского района на уставную деятельность</w:t>
      </w: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26 млн. 400 тыс. руб., в том числе:</w:t>
      </w:r>
    </w:p>
    <w:p w:rsidR="00CD3890" w:rsidRDefault="00CD3890" w:rsidP="00CD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выдачи займов/</w:t>
      </w:r>
      <w:proofErr w:type="spellStart"/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малого и среднего предпринимательства – 25 млн. руб</w:t>
      </w:r>
      <w:proofErr w:type="gramStart"/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D3890" w:rsidRPr="000448BB" w:rsidRDefault="00CD3890" w:rsidP="00CD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организацию просветительской деятельности, пропаганду экономических знаний среди населения Тазовского района в рамках деятельности  </w:t>
      </w:r>
      <w:proofErr w:type="gramStart"/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gramEnd"/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юного предпринимателя   при МК Фонд развития Тазовского района</w:t>
      </w:r>
      <w:r w:rsidRPr="0004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900 тыс. руб.; Проводятся занятия с учащимися 7-11 классов.  </w:t>
      </w:r>
    </w:p>
    <w:p w:rsidR="00CD3890" w:rsidRDefault="00CD3890" w:rsidP="00CD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оказания юридических и консультационных услуг для лиц, принявших решение о начале предпринимательской деятельности и начинающих субъектов малого бизнеса – 500 тыс. руб. Обратились 21 человек, оказано 58 услуг, в том числе консультационных 18 и юридических 40.  </w:t>
      </w:r>
    </w:p>
    <w:p w:rsidR="00787518" w:rsidRPr="000448BB" w:rsidRDefault="00787518" w:rsidP="00CD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финансовую поддержку получают от 13 до 21 предпринимателей.</w:t>
      </w:r>
      <w:bookmarkStart w:id="0" w:name="_GoBack"/>
      <w:bookmarkEnd w:id="0"/>
    </w:p>
    <w:p w:rsidR="00CD3890" w:rsidRDefault="00CD3890" w:rsidP="00CD3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2D" w:rsidRDefault="00FB3E2D" w:rsidP="00FB3E2D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2A7B8F">
        <w:rPr>
          <w:rFonts w:ascii="Times New Roman" w:hAnsi="Times New Roman" w:cs="Times New Roman"/>
          <w:sz w:val="28"/>
          <w:szCs w:val="28"/>
        </w:rPr>
        <w:t xml:space="preserve">В целях поддержки субъектов предпринимательства постановлением Администрации Тазовского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7B8F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2A7B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формирования, ведения </w:t>
      </w:r>
      <w:r w:rsidRPr="002A7B8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</w:t>
      </w:r>
      <w:r w:rsidRPr="004408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74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C54110">
        <w:rPr>
          <w:rFonts w:ascii="Times New Roman" w:hAnsi="Times New Roman" w:cs="Times New Roman"/>
          <w:sz w:val="28"/>
          <w:szCs w:val="28"/>
        </w:rPr>
        <w:t xml:space="preserve">В перечень включаются земельные участки,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110">
        <w:rPr>
          <w:rFonts w:ascii="Times New Roman" w:hAnsi="Times New Roman" w:cs="Times New Roman"/>
          <w:sz w:val="28"/>
          <w:szCs w:val="28"/>
        </w:rPr>
        <w:t>здания, строения, сооружения, нежилые помещения, оборудование, машины, механизмы, установки, транспортные средства, инвентарь, инструменты, пригодные к эксплуатации  и свободные от прав третьих лиц (за исключением имущественных прав субъектов малого и среднего предпринимательства).</w:t>
      </w:r>
      <w:proofErr w:type="gramEnd"/>
    </w:p>
    <w:p w:rsidR="00FB3E2D" w:rsidRDefault="00FB3E2D" w:rsidP="00FB3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программных </w:t>
      </w:r>
      <w:r w:rsidRPr="00877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8778D6">
        <w:rPr>
          <w:rFonts w:eastAsia="Times New Roman"/>
          <w:lang w:eastAsia="ru-RU"/>
        </w:rPr>
        <w:t xml:space="preserve">  </w:t>
      </w:r>
      <w:r w:rsidRPr="008778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образованием предоставляются муниципальные гарантии предпринимателям,</w:t>
      </w:r>
      <w:r w:rsidRPr="008778D6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Порядком предоставления муниципальных гарантий за счет средств бюджета муниципального образования Тазовский район</w:t>
      </w:r>
      <w:r w:rsidRPr="0087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3E2D" w:rsidRPr="00D65F88" w:rsidRDefault="00FB3E2D" w:rsidP="00FB3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муниципального образования Тазовский район за период с 2010 по 2017 годы от субъектов малого и среднего предпринимательства поступление налоговых платежей составило 191 млн. 478 тыс. руб., в том числе: по </w:t>
      </w:r>
      <w:r w:rsidRPr="0027776C">
        <w:rPr>
          <w:rFonts w:ascii="Times New Roman" w:eastAsia="Calibri" w:hAnsi="Times New Roman" w:cs="Times New Roman"/>
          <w:sz w:val="28"/>
          <w:szCs w:val="28"/>
        </w:rPr>
        <w:t>упрощенной системе налогообложения – 141 млн. 389 тыс. руб.; по единому налогу на вмененный доход – 42 млн. 868 тыс. руб.;</w:t>
      </w:r>
      <w:r w:rsidRPr="00D9656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7776C">
        <w:rPr>
          <w:rFonts w:ascii="Times New Roman" w:eastAsia="Calibri" w:hAnsi="Times New Roman" w:cs="Times New Roman"/>
          <w:sz w:val="28"/>
          <w:szCs w:val="28"/>
        </w:rPr>
        <w:t>патентная система налогообложения – 1 млн. 291 тыс. (с 2013</w:t>
      </w:r>
      <w:proofErr w:type="gramEnd"/>
      <w:r w:rsidRPr="0027776C">
        <w:rPr>
          <w:rFonts w:ascii="Times New Roman" w:eastAsia="Calibri" w:hAnsi="Times New Roman" w:cs="Times New Roman"/>
          <w:sz w:val="28"/>
          <w:szCs w:val="28"/>
        </w:rPr>
        <w:t xml:space="preserve"> года). </w:t>
      </w:r>
      <w:r w:rsidRPr="00D65F88">
        <w:rPr>
          <w:rFonts w:ascii="Times New Roman" w:eastAsia="Calibri" w:hAnsi="Times New Roman" w:cs="Times New Roman"/>
          <w:sz w:val="28"/>
          <w:szCs w:val="28"/>
        </w:rPr>
        <w:t xml:space="preserve">Поступление налогов в бюджет муниципального образования на 2018 год запланировано в сумме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более </w:t>
      </w:r>
      <w:r w:rsidRPr="00D65F88">
        <w:rPr>
          <w:rFonts w:ascii="Times New Roman" w:eastAsia="Calibri" w:hAnsi="Times New Roman" w:cs="Times New Roman"/>
          <w:sz w:val="28"/>
          <w:szCs w:val="28"/>
        </w:rPr>
        <w:t>30 млн. рублей.</w:t>
      </w:r>
    </w:p>
    <w:p w:rsidR="00FB3E2D" w:rsidRPr="00D91458" w:rsidRDefault="00FB3E2D" w:rsidP="00FB3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Районной Думы муниципального образования от 18 ноября 2015 года с 01 января 2016 года ставка единого налога на вмененный доход снижена с 15 до 10 процентов для всех категорий налогоплательщиков и видов предпринимательской деятельности, в отношении которых может применяться единый налог на вмененный доход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(местный налог)</w:t>
      </w:r>
      <w:r w:rsidRPr="00D9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3E2D" w:rsidRPr="00E0535D" w:rsidRDefault="00FB3E2D" w:rsidP="00FB3E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6708">
        <w:rPr>
          <w:rFonts w:ascii="Times New Roman" w:hAnsi="Times New Roman" w:cs="Times New Roman"/>
          <w:sz w:val="28"/>
          <w:szCs w:val="28"/>
        </w:rPr>
        <w:t xml:space="preserve">Оказываемая поддержка в рамках программы способствует увеличению </w:t>
      </w:r>
      <w:r w:rsidRPr="00BB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созданных  субъектов малого и среднего предпринимательства;</w:t>
      </w:r>
      <w:r w:rsidRPr="00BB6708">
        <w:rPr>
          <w:rFonts w:ascii="Times New Roman" w:hAnsi="Times New Roman" w:cs="Times New Roman"/>
          <w:sz w:val="28"/>
          <w:szCs w:val="28"/>
        </w:rPr>
        <w:t xml:space="preserve"> расширению сферы предоставляемых субъектами малого бизнеса услуг населению; увеличению </w:t>
      </w:r>
      <w:r w:rsidRPr="00BB6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созданных и сохраненных рабочих мест; увеличению объемов выпускаемой продукции; вовлечению в предпринимательскую среду молодежи   (40 человек из числа молодежи до 30 лет получили финансовую поддержку), что в свою очередь свидетельствует об эффективности принимаемых мер по развитию предпринимательства в районе.</w:t>
      </w:r>
    </w:p>
    <w:p w:rsidR="00CD3890" w:rsidRDefault="00CD3890" w:rsidP="00082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E2D" w:rsidRDefault="00FB3E2D" w:rsidP="00082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E2D" w:rsidRDefault="00FB3E2D" w:rsidP="00082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E2D" w:rsidRDefault="00FB3E2D" w:rsidP="00082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E2D" w:rsidRDefault="00FB3E2D" w:rsidP="00082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E2D" w:rsidRDefault="00FB3E2D" w:rsidP="00082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E2D" w:rsidRDefault="00FB3E2D" w:rsidP="00082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E2D" w:rsidRPr="00D91458" w:rsidRDefault="00FB3E2D" w:rsidP="00082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E2D" w:rsidRDefault="00FB3E2D" w:rsidP="00224A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за 2017 год</w:t>
      </w:r>
    </w:p>
    <w:p w:rsidR="00D91458" w:rsidRPr="00D91458" w:rsidRDefault="00D91458" w:rsidP="00224A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3A0318" w:rsidRPr="00CD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D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B7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27E">
        <w:rPr>
          <w:rFonts w:ascii="Times New Roman" w:eastAsia="Times New Roman" w:hAnsi="Times New Roman" w:cs="Times New Roman"/>
          <w:sz w:val="28"/>
          <w:szCs w:val="28"/>
        </w:rPr>
        <w:t xml:space="preserve">финансовую </w:t>
      </w:r>
      <w:r w:rsidRPr="00B72534">
        <w:rPr>
          <w:rFonts w:ascii="Times New Roman" w:eastAsia="Times New Roman" w:hAnsi="Times New Roman" w:cs="Times New Roman"/>
          <w:sz w:val="28"/>
          <w:szCs w:val="28"/>
        </w:rPr>
        <w:t xml:space="preserve">поддержку получили </w:t>
      </w:r>
      <w:r w:rsidR="00B72534" w:rsidRPr="00B7253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72534">
        <w:rPr>
          <w:rFonts w:ascii="Times New Roman" w:eastAsia="Times New Roman" w:hAnsi="Times New Roman" w:cs="Times New Roman"/>
          <w:sz w:val="28"/>
          <w:szCs w:val="28"/>
        </w:rPr>
        <w:t>3 субъект</w:t>
      </w:r>
      <w:r w:rsidR="00B72534" w:rsidRPr="00B7253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72534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предпринимательства,</w:t>
      </w:r>
      <w:r w:rsidRPr="00D91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A80">
        <w:rPr>
          <w:rFonts w:ascii="Times New Roman" w:eastAsia="Times New Roman" w:hAnsi="Times New Roman" w:cs="Times New Roman"/>
          <w:sz w:val="28"/>
          <w:szCs w:val="28"/>
        </w:rPr>
        <w:t>в том числе 1</w:t>
      </w:r>
      <w:r w:rsidR="00B72534" w:rsidRPr="00DF3A8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F3A80">
        <w:rPr>
          <w:rFonts w:ascii="Times New Roman" w:eastAsia="Times New Roman" w:hAnsi="Times New Roman" w:cs="Times New Roman"/>
          <w:sz w:val="28"/>
          <w:szCs w:val="28"/>
        </w:rPr>
        <w:t xml:space="preserve"> - н</w:t>
      </w:r>
      <w:r w:rsidRPr="00D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создание собственного дела, из них</w:t>
      </w:r>
      <w:r w:rsidR="00B72534" w:rsidRPr="00DF3A80">
        <w:rPr>
          <w:rFonts w:ascii="Times New Roman" w:eastAsia="Times New Roman" w:hAnsi="Times New Roman" w:cs="Times New Roman"/>
          <w:sz w:val="28"/>
          <w:szCs w:val="28"/>
          <w:lang w:eastAsia="ru-RU"/>
        </w:rPr>
        <w:t>: 1 – безработный</w:t>
      </w:r>
      <w:r w:rsidR="00FB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(до 30 лет)</w:t>
      </w:r>
      <w:r w:rsidR="00B72534" w:rsidRPr="00DF3A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F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3B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молодежь до 30 лет</w:t>
      </w:r>
      <w:r w:rsidR="00FB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1CA7" w:rsidRPr="00DF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A80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341CA7" w:rsidRPr="00DF3A8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F3A80"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r w:rsidR="00341CA7" w:rsidRPr="00DF3A80">
        <w:rPr>
          <w:rFonts w:ascii="Times New Roman" w:eastAsia="Times New Roman" w:hAnsi="Times New Roman" w:cs="Times New Roman"/>
          <w:sz w:val="28"/>
          <w:szCs w:val="28"/>
        </w:rPr>
        <w:t>810</w:t>
      </w:r>
      <w:r w:rsidRPr="00DF3A80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DF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1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Гранты предоставлены на развитие собственного бизнеса по направлениям</w:t>
      </w:r>
      <w:r w:rsidRPr="00C21314">
        <w:rPr>
          <w:rFonts w:ascii="Times New Roman" w:eastAsia="Times New Roman" w:hAnsi="Times New Roman" w:cs="Times New Roman"/>
          <w:sz w:val="28"/>
          <w:szCs w:val="28"/>
          <w:lang w:eastAsia="ru-RU"/>
        </w:rPr>
        <w:t>: услуги туристического агентства</w:t>
      </w:r>
      <w:r w:rsidR="00084659" w:rsidRPr="00C213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69B" w:rsidRPr="00C213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 красоты</w:t>
      </w:r>
      <w:r w:rsidR="00084659" w:rsidRPr="00C213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569B" w:rsidRPr="00C2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1FF" w:rsidRPr="00C2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фотостудии, прачечной для населения и организаций</w:t>
      </w:r>
      <w:r w:rsidR="00084659" w:rsidRPr="00C2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D569B" w:rsidRPr="00C2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питание; услуги по изготовлению ключей; </w:t>
      </w:r>
      <w:r w:rsidR="00084659" w:rsidRPr="00C21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грузов в труднодоступные местности Тазовского района</w:t>
      </w:r>
      <w:r w:rsidRPr="00C21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458" w:rsidRPr="00D91458" w:rsidRDefault="008B69E4" w:rsidP="00224A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 субъектам малого и среднего предпринимательства </w:t>
      </w:r>
      <w:r w:rsidR="00D91458" w:rsidRPr="00D9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возмещены расходы по уплате первоначального взноса по договору лизинга оборудования на сумму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1458" w:rsidRPr="00D9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44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D91458" w:rsidRPr="00D9145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D91458" w:rsidRPr="00D914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1458" w:rsidRPr="00D9145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</w:t>
      </w:r>
      <w:r w:rsidR="00656448" w:rsidRPr="0065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Одному предприятию агропромышленного комплекса  </w:t>
      </w:r>
      <w:r w:rsidR="00D91458" w:rsidRPr="00D914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компенсирован</w:t>
      </w:r>
      <w:r w:rsidR="006564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1458" w:rsidRPr="00D9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затрат, связанных с уплатой процентов по кредиту на закупку мяса оленины в сумме </w:t>
      </w:r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>684</w:t>
      </w:r>
      <w:r w:rsidR="00656448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D91458" w:rsidRPr="00D9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6564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CEE" w:rsidRPr="00827CEE" w:rsidRDefault="00827CEE" w:rsidP="00224A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7CEE">
        <w:rPr>
          <w:rFonts w:ascii="Times New Roman" w:eastAsia="Times New Roman" w:hAnsi="Times New Roman" w:cs="Times New Roman"/>
          <w:sz w:val="28"/>
          <w:szCs w:val="28"/>
        </w:rPr>
        <w:t>Микрокредитной</w:t>
      </w:r>
      <w:proofErr w:type="spellEnd"/>
      <w:r w:rsidRPr="00827CEE">
        <w:rPr>
          <w:rFonts w:ascii="Times New Roman" w:eastAsia="Times New Roman" w:hAnsi="Times New Roman" w:cs="Times New Roman"/>
          <w:sz w:val="28"/>
          <w:szCs w:val="28"/>
        </w:rPr>
        <w:t xml:space="preserve"> компании Фонд  развития Тазовского района Ямало-Ненецкого автономного округа на уставную деятельность в 2017 году направлено 18,002  млн. рублей, в том числе: </w:t>
      </w:r>
    </w:p>
    <w:p w:rsidR="00827CEE" w:rsidRPr="0008267C" w:rsidRDefault="00827CEE" w:rsidP="00224A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267C">
        <w:rPr>
          <w:rFonts w:ascii="Times New Roman" w:eastAsia="Times New Roman" w:hAnsi="Times New Roman" w:cs="Times New Roman"/>
          <w:b/>
          <w:i/>
          <w:sz w:val="28"/>
          <w:szCs w:val="28"/>
        </w:rPr>
        <w:t>1. Для  предоставления займов/</w:t>
      </w:r>
      <w:proofErr w:type="spellStart"/>
      <w:r w:rsidRPr="0008267C">
        <w:rPr>
          <w:rFonts w:ascii="Times New Roman" w:eastAsia="Times New Roman" w:hAnsi="Times New Roman" w:cs="Times New Roman"/>
          <w:b/>
          <w:i/>
          <w:sz w:val="28"/>
          <w:szCs w:val="28"/>
        </w:rPr>
        <w:t>микрозаймов</w:t>
      </w:r>
      <w:proofErr w:type="spellEnd"/>
      <w:r w:rsidRPr="000826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субъектам малого и среднего предпринимательства - 15 млн. рублей. </w:t>
      </w:r>
    </w:p>
    <w:p w:rsidR="00827CEE" w:rsidRPr="00827CEE" w:rsidRDefault="006F322C" w:rsidP="00224A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827CEE" w:rsidRPr="00827CEE">
        <w:rPr>
          <w:rFonts w:ascii="Times New Roman" w:eastAsia="Times New Roman" w:hAnsi="Times New Roman" w:cs="Times New Roman"/>
          <w:sz w:val="28"/>
          <w:szCs w:val="28"/>
        </w:rPr>
        <w:t>аймы предоставлены 8  заемщикам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CEE" w:rsidRPr="00827CEE">
        <w:rPr>
          <w:rFonts w:ascii="Times New Roman" w:eastAsia="Times New Roman" w:hAnsi="Times New Roman" w:cs="Times New Roman"/>
          <w:sz w:val="28"/>
          <w:szCs w:val="28"/>
        </w:rPr>
        <w:t>(с учетом переходящего остатка с 2016 года).</w:t>
      </w:r>
    </w:p>
    <w:p w:rsidR="00827CEE" w:rsidRDefault="00827CEE" w:rsidP="00224A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CEE">
        <w:rPr>
          <w:rFonts w:ascii="Times New Roman" w:eastAsia="Times New Roman" w:hAnsi="Times New Roman" w:cs="Times New Roman"/>
          <w:sz w:val="28"/>
          <w:szCs w:val="28"/>
        </w:rPr>
        <w:t xml:space="preserve">Субъектам малого и среднего предпринимательства, осуществляющим  свою деятельность по приоритетным видам деятельности процентные ставки снижены до 7,5%; </w:t>
      </w:r>
      <w:r w:rsidR="00AB7BAC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827CEE">
        <w:rPr>
          <w:rFonts w:ascii="Times New Roman" w:eastAsia="Times New Roman" w:hAnsi="Times New Roman" w:cs="Times New Roman"/>
          <w:sz w:val="28"/>
          <w:szCs w:val="28"/>
        </w:rPr>
        <w:t>частникам социального проекта «Забота» до 9,5%</w:t>
      </w:r>
      <w:r w:rsidR="00AB7BA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7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267C" w:rsidRPr="0008267C" w:rsidRDefault="0008267C" w:rsidP="00082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26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На организацию просветительской деятельности в рамках деятельности  </w:t>
      </w:r>
      <w:proofErr w:type="gramStart"/>
      <w:r w:rsidRPr="000826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Бизнес-инкубатора</w:t>
      </w:r>
      <w:proofErr w:type="gramEnd"/>
      <w:r w:rsidRPr="000826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юного предпринимателя -  900 тыс. руб.; </w:t>
      </w:r>
    </w:p>
    <w:p w:rsidR="0008267C" w:rsidRPr="000568AA" w:rsidRDefault="0008267C" w:rsidP="0008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формирования экономической культуры и грамотности учащихся общеобразовательных организаций и молодежи  функционирует  Бизнес-инкубатор юного предпринимателя при Фонде развития Тазовского района. Проводятся занятия с учащимися 7-11 классов и одна взрослая группа – молодежь. </w:t>
      </w:r>
    </w:p>
    <w:p w:rsidR="0008267C" w:rsidRPr="000568AA" w:rsidRDefault="0008267C" w:rsidP="00082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лиц, принявших решение о начале предпринимательской деятельности и начинающих субъектов малого и среднего предпринимательства, осуществляющих деятельность на территории Тазовского района, бесплатно </w:t>
      </w:r>
      <w:r w:rsidRPr="000826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оказываются юридические и консультационные услуги</w:t>
      </w:r>
      <w:r w:rsidRPr="000568A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Затраты возмещаются за счет бюджетных средств (в 2017 году оказано 48 услуг 17 заявителям на сумму 337 тыс. рублей).</w:t>
      </w:r>
    </w:p>
    <w:p w:rsidR="00B8339D" w:rsidRPr="00E33977" w:rsidRDefault="00B8339D" w:rsidP="00224A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7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Агентством стратегических инициатив пров</w:t>
      </w:r>
      <w:r w:rsidR="00A42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одились</w:t>
      </w:r>
      <w:r w:rsidRPr="00E3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мероприятия по обучению проектному управлению для реализации приоритетных задач Тазовского района (для руководителей и специалистов  органов местного самоуправления и субъектов малого предпринимательства), прошедшим обучение вручены сертификаты.</w:t>
      </w:r>
    </w:p>
    <w:p w:rsidR="00B8339D" w:rsidRPr="00E33977" w:rsidRDefault="00B8339D" w:rsidP="00224A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 Фонд развития Тазовского района проведено мероприятие, направленное на обучение сотрудников субъектов малого и среднего </w:t>
      </w:r>
      <w:r w:rsidRPr="00E33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 новым компетенциям в сфере ведения предпринимательской деятельности, прошли обучение 11 человек.</w:t>
      </w:r>
    </w:p>
    <w:p w:rsidR="0048127A" w:rsidRPr="00E33977" w:rsidRDefault="00E33977" w:rsidP="00224A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образования проведен ежегодный районный конкурс среди старшеклассников общеобразовательных учреждений района «Лучший предпринимательский проект» на сумму 81 тыс. 378 руб</w:t>
      </w:r>
      <w:proofErr w:type="gramStart"/>
      <w:r w:rsidRPr="00E33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4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224A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127A" w:rsidRPr="0048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ризёры получили денежные вознаграждения </w:t>
      </w:r>
      <w:r w:rsidR="0022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48127A" w:rsidRPr="0048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 муниципальной программы Тазовского района «Экономическое развитие на 2015-2020 годы», подпрограммы «Развитие малого и среднего </w:t>
      </w:r>
      <w:r w:rsidR="0048127A" w:rsidRPr="00E33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48127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33977" w:rsidRPr="00E33977" w:rsidRDefault="00E33977" w:rsidP="00224A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содействия развитию молодежного предпринимательства на поддержку деятельности </w:t>
      </w:r>
      <w:proofErr w:type="gramStart"/>
      <w:r w:rsidRPr="00E3397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бизнес-классов</w:t>
      </w:r>
      <w:proofErr w:type="gramEnd"/>
      <w:r w:rsidRPr="00E3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селах </w:t>
      </w:r>
      <w:proofErr w:type="spellStart"/>
      <w:r w:rsidRPr="00E33977">
        <w:rPr>
          <w:rFonts w:ascii="Times New Roman" w:eastAsia="Times New Roman" w:hAnsi="Times New Roman" w:cs="Times New Roman"/>
          <w:sz w:val="28"/>
          <w:szCs w:val="28"/>
          <w:lang w:eastAsia="ru-RU"/>
        </w:rPr>
        <w:t>Гыда</w:t>
      </w:r>
      <w:proofErr w:type="spellEnd"/>
      <w:r w:rsidRPr="00E3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39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Антипаюта</w:t>
      </w:r>
      <w:proofErr w:type="spellEnd"/>
      <w:r w:rsidRPr="00E3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Pr="00E3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 тыс. 622 руб., п. Тазовский – 159 тыс. рублей.</w:t>
      </w:r>
    </w:p>
    <w:p w:rsidR="009A7990" w:rsidRDefault="009A7990" w:rsidP="009A7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990" w:rsidRDefault="009A7990" w:rsidP="009A7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990" w:rsidRDefault="009A7990" w:rsidP="009A7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990" w:rsidRDefault="009A7990" w:rsidP="009A7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990" w:rsidRPr="007C7BC1" w:rsidRDefault="009A7990" w:rsidP="009A79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7BC1">
        <w:rPr>
          <w:rFonts w:ascii="Times New Roman" w:eastAsia="Calibri" w:hAnsi="Times New Roman" w:cs="Times New Roman"/>
          <w:i/>
          <w:sz w:val="24"/>
          <w:szCs w:val="24"/>
        </w:rPr>
        <w:t>Тихонова Галина Александровна</w:t>
      </w:r>
    </w:p>
    <w:sectPr w:rsidR="009A7990" w:rsidRPr="007C7BC1" w:rsidSect="00D254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B59"/>
    <w:multiLevelType w:val="hybridMultilevel"/>
    <w:tmpl w:val="1D84AB5C"/>
    <w:lvl w:ilvl="0" w:tplc="A438714E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78"/>
    <w:rsid w:val="0001135E"/>
    <w:rsid w:val="000448BB"/>
    <w:rsid w:val="000714FF"/>
    <w:rsid w:val="000808C5"/>
    <w:rsid w:val="0008267C"/>
    <w:rsid w:val="00084659"/>
    <w:rsid w:val="000D4064"/>
    <w:rsid w:val="001B6DCB"/>
    <w:rsid w:val="001D0F6E"/>
    <w:rsid w:val="00224A39"/>
    <w:rsid w:val="002918CD"/>
    <w:rsid w:val="002F4ECA"/>
    <w:rsid w:val="00341CA7"/>
    <w:rsid w:val="003517AD"/>
    <w:rsid w:val="003A0318"/>
    <w:rsid w:val="003F2DD3"/>
    <w:rsid w:val="0040006B"/>
    <w:rsid w:val="0048127A"/>
    <w:rsid w:val="00491D5F"/>
    <w:rsid w:val="004A432A"/>
    <w:rsid w:val="004A6B37"/>
    <w:rsid w:val="004D4D78"/>
    <w:rsid w:val="005B41CE"/>
    <w:rsid w:val="00620F7F"/>
    <w:rsid w:val="00625D57"/>
    <w:rsid w:val="00637D32"/>
    <w:rsid w:val="00656448"/>
    <w:rsid w:val="006D569B"/>
    <w:rsid w:val="006E25B2"/>
    <w:rsid w:val="006F322C"/>
    <w:rsid w:val="00787518"/>
    <w:rsid w:val="007C6D00"/>
    <w:rsid w:val="007C7BC1"/>
    <w:rsid w:val="007E196D"/>
    <w:rsid w:val="007F65F8"/>
    <w:rsid w:val="00827CEE"/>
    <w:rsid w:val="0083799C"/>
    <w:rsid w:val="00843B04"/>
    <w:rsid w:val="008B69E4"/>
    <w:rsid w:val="0091706F"/>
    <w:rsid w:val="00934EE4"/>
    <w:rsid w:val="009A7990"/>
    <w:rsid w:val="00A42145"/>
    <w:rsid w:val="00A43FDA"/>
    <w:rsid w:val="00AA2D83"/>
    <w:rsid w:val="00AB0974"/>
    <w:rsid w:val="00AB7BAC"/>
    <w:rsid w:val="00B10962"/>
    <w:rsid w:val="00B11DBD"/>
    <w:rsid w:val="00B13751"/>
    <w:rsid w:val="00B72534"/>
    <w:rsid w:val="00B8339D"/>
    <w:rsid w:val="00C21314"/>
    <w:rsid w:val="00C45948"/>
    <w:rsid w:val="00C5053C"/>
    <w:rsid w:val="00CC6616"/>
    <w:rsid w:val="00CD3890"/>
    <w:rsid w:val="00D25460"/>
    <w:rsid w:val="00D91458"/>
    <w:rsid w:val="00DF3A80"/>
    <w:rsid w:val="00E15825"/>
    <w:rsid w:val="00E33977"/>
    <w:rsid w:val="00F1328D"/>
    <w:rsid w:val="00F351FF"/>
    <w:rsid w:val="00F84EAF"/>
    <w:rsid w:val="00FB3E2D"/>
    <w:rsid w:val="00FB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064"/>
    <w:pPr>
      <w:ind w:left="720"/>
      <w:contextualSpacing/>
    </w:pPr>
  </w:style>
  <w:style w:type="paragraph" w:customStyle="1" w:styleId="ConsPlusNormal">
    <w:name w:val="ConsPlusNormal"/>
    <w:rsid w:val="00FB3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064"/>
    <w:pPr>
      <w:ind w:left="720"/>
      <w:contextualSpacing/>
    </w:pPr>
  </w:style>
  <w:style w:type="paragraph" w:customStyle="1" w:styleId="ConsPlusNormal">
    <w:name w:val="ConsPlusNormal"/>
    <w:rsid w:val="00FB3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8478062582602707E-2"/>
          <c:y val="5.7837857680377379E-2"/>
          <c:w val="0.44134174717522012"/>
          <c:h val="0.870338270653231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w="88900" h="88900"/>
            </a:sp3d>
          </c:spPr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-0.13967956708114188"/>
                  <c:y val="-6.2386065378191365E-2"/>
                </c:manualLayout>
              </c:layout>
              <c:spPr/>
              <c:txPr>
                <a:bodyPr/>
                <a:lstStyle/>
                <a:p>
                  <a:pPr>
                    <a:defRPr sz="1202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080250103872151"/>
                  <c:y val="-0.10532202705431051"/>
                </c:manualLayout>
              </c:layout>
              <c:spPr/>
              <c:txPr>
                <a:bodyPr/>
                <a:lstStyle/>
                <a:p>
                  <a:pPr>
                    <a:defRPr sz="1202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0212649094538859"/>
                  <c:y val="0.1102542077345227"/>
                </c:manualLayout>
              </c:layout>
              <c:spPr/>
              <c:txPr>
                <a:bodyPr/>
                <a:lstStyle/>
                <a:p>
                  <a:pPr>
                    <a:defRPr sz="1202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2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торговля</c:v>
                </c:pt>
                <c:pt idx="1">
                  <c:v>строительство</c:v>
                </c:pt>
                <c:pt idx="2">
                  <c:v>транспорт и хранение</c:v>
                </c:pt>
                <c:pt idx="3">
                  <c:v>сельское, лесное хозяйство, охота, рыболовствои рыбоводство</c:v>
                </c:pt>
                <c:pt idx="4">
                  <c:v>операции с недвижимым имуществом</c:v>
                </c:pt>
                <c:pt idx="5">
                  <c:v>другие отрасли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0.44280000000000003</c:v>
                </c:pt>
                <c:pt idx="1">
                  <c:v>6.3299999999999995E-2</c:v>
                </c:pt>
                <c:pt idx="2">
                  <c:v>0.1338</c:v>
                </c:pt>
                <c:pt idx="3">
                  <c:v>4.1399999999999999E-2</c:v>
                </c:pt>
                <c:pt idx="4">
                  <c:v>2.6800000000000001E-2</c:v>
                </c:pt>
                <c:pt idx="5">
                  <c:v>0.29189999999999999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51">
          <a:noFill/>
        </a:ln>
      </c:spPr>
    </c:plotArea>
    <c:legend>
      <c:legendPos val="r"/>
      <c:layout>
        <c:manualLayout>
          <c:xMode val="edge"/>
          <c:yMode val="edge"/>
          <c:x val="0.64546525323910486"/>
          <c:y val="2.3566145140948291E-2"/>
          <c:w val="0.34040047114252059"/>
          <c:h val="0.97643385485905176"/>
        </c:manualLayout>
      </c:layout>
      <c:overlay val="0"/>
      <c:txPr>
        <a:bodyPr/>
        <a:lstStyle/>
        <a:p>
          <a:pPr>
            <a:defRPr sz="1202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Грачёва Ольга Валерьевна</dc:creator>
  <cp:lastModifiedBy>Тихонова</cp:lastModifiedBy>
  <cp:revision>9</cp:revision>
  <cp:lastPrinted>2018-07-18T13:34:00Z</cp:lastPrinted>
  <dcterms:created xsi:type="dcterms:W3CDTF">2018-07-18T11:14:00Z</dcterms:created>
  <dcterms:modified xsi:type="dcterms:W3CDTF">2018-07-24T05:05:00Z</dcterms:modified>
</cp:coreProperties>
</file>